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95" w:type="dxa"/>
        <w:tblLook w:val="04A0" w:firstRow="1" w:lastRow="0" w:firstColumn="1" w:lastColumn="0" w:noHBand="0" w:noVBand="1"/>
      </w:tblPr>
      <w:tblGrid>
        <w:gridCol w:w="2972"/>
        <w:gridCol w:w="6623"/>
      </w:tblGrid>
      <w:tr w:rsidR="001B352B" w14:paraId="751ECC59" w14:textId="77777777" w:rsidTr="004A60FC">
        <w:tc>
          <w:tcPr>
            <w:tcW w:w="2972" w:type="dxa"/>
          </w:tcPr>
          <w:p w14:paraId="28010F37" w14:textId="5D6896B2" w:rsidR="001B352B" w:rsidRPr="001B352B" w:rsidRDefault="001B352B" w:rsidP="004A60FC">
            <w:pPr>
              <w:rPr>
                <w:b/>
              </w:rPr>
            </w:pPr>
            <w:r>
              <w:rPr>
                <w:b/>
              </w:rPr>
              <w:t>Testimonials</w:t>
            </w:r>
          </w:p>
        </w:tc>
        <w:tc>
          <w:tcPr>
            <w:tcW w:w="6623" w:type="dxa"/>
          </w:tcPr>
          <w:p w14:paraId="4BB18A98" w14:textId="3E4A113E" w:rsidR="001B352B" w:rsidRPr="001B352B" w:rsidRDefault="001B352B" w:rsidP="001B352B">
            <w:pPr>
              <w:jc w:val="center"/>
              <w:rPr>
                <w:b/>
              </w:rPr>
            </w:pPr>
            <w:r>
              <w:rPr>
                <w:b/>
              </w:rPr>
              <w:t>Gillard Group</w:t>
            </w:r>
          </w:p>
        </w:tc>
      </w:tr>
      <w:tr w:rsidR="004A60FC" w14:paraId="464EEC40" w14:textId="77777777" w:rsidTr="004A60FC">
        <w:tc>
          <w:tcPr>
            <w:tcW w:w="2972" w:type="dxa"/>
          </w:tcPr>
          <w:p w14:paraId="68F4FEB8" w14:textId="1352DD1A" w:rsidR="004A60FC" w:rsidRPr="001B352B" w:rsidRDefault="001B352B" w:rsidP="004A60FC">
            <w:pPr>
              <w:rPr>
                <w:b/>
              </w:rPr>
            </w:pPr>
            <w:r w:rsidRPr="001B352B">
              <w:rPr>
                <w:b/>
              </w:rPr>
              <w:t>Who and what</w:t>
            </w:r>
          </w:p>
        </w:tc>
        <w:tc>
          <w:tcPr>
            <w:tcW w:w="6623" w:type="dxa"/>
          </w:tcPr>
          <w:p w14:paraId="19DCCA70" w14:textId="6CF8E870" w:rsidR="004A60FC" w:rsidRPr="001B352B" w:rsidRDefault="001B352B" w:rsidP="001B352B">
            <w:pPr>
              <w:jc w:val="center"/>
              <w:rPr>
                <w:b/>
              </w:rPr>
            </w:pPr>
            <w:r w:rsidRPr="001B352B">
              <w:rPr>
                <w:b/>
              </w:rPr>
              <w:t>Said</w:t>
            </w:r>
          </w:p>
        </w:tc>
      </w:tr>
      <w:tr w:rsidR="004A60FC" w14:paraId="53F1488A" w14:textId="77777777" w:rsidTr="004A60FC">
        <w:tc>
          <w:tcPr>
            <w:tcW w:w="2972" w:type="dxa"/>
          </w:tcPr>
          <w:p w14:paraId="24CC90FC" w14:textId="2D7BF797" w:rsidR="001B352B" w:rsidRDefault="001B352B" w:rsidP="004A60FC">
            <w:pPr>
              <w:jc w:val="both"/>
              <w:rPr>
                <w:sz w:val="22"/>
                <w:szCs w:val="22"/>
              </w:rPr>
            </w:pPr>
            <w:r>
              <w:rPr>
                <w:sz w:val="22"/>
                <w:szCs w:val="22"/>
              </w:rPr>
              <w:t xml:space="preserve">LUX Designer Awards 2018, International Award Citation for Best multi-residential design, </w:t>
            </w:r>
            <w:r w:rsidRPr="00603B10">
              <w:rPr>
                <w:b/>
                <w:sz w:val="22"/>
                <w:szCs w:val="22"/>
              </w:rPr>
              <w:t>Spectrum Apartments</w:t>
            </w:r>
          </w:p>
          <w:p w14:paraId="7C69E8C3" w14:textId="77777777" w:rsidR="004A60FC" w:rsidRDefault="004A60FC" w:rsidP="001B352B">
            <w:pPr>
              <w:jc w:val="both"/>
              <w:rPr>
                <w:sz w:val="22"/>
                <w:szCs w:val="22"/>
              </w:rPr>
            </w:pPr>
          </w:p>
          <w:p w14:paraId="48EBC69C" w14:textId="5C62F9CE" w:rsidR="00603B10" w:rsidRDefault="00603B10" w:rsidP="00603B10">
            <w:pPr>
              <w:rPr>
                <w:sz w:val="22"/>
                <w:szCs w:val="22"/>
              </w:rPr>
            </w:pPr>
            <w:r>
              <w:rPr>
                <w:sz w:val="22"/>
                <w:szCs w:val="22"/>
              </w:rPr>
              <w:t>Owner and developer</w:t>
            </w:r>
          </w:p>
          <w:p w14:paraId="5CCA2A9D" w14:textId="77777777" w:rsidR="00603B10" w:rsidRDefault="00603B10" w:rsidP="001B352B">
            <w:pPr>
              <w:jc w:val="both"/>
              <w:rPr>
                <w:sz w:val="22"/>
                <w:szCs w:val="22"/>
              </w:rPr>
            </w:pPr>
          </w:p>
        </w:tc>
        <w:tc>
          <w:tcPr>
            <w:tcW w:w="6623" w:type="dxa"/>
          </w:tcPr>
          <w:p w14:paraId="07FB5413" w14:textId="77777777" w:rsidR="004A60FC" w:rsidRDefault="004A60FC" w:rsidP="004A60FC">
            <w:pPr>
              <w:jc w:val="center"/>
              <w:rPr>
                <w:sz w:val="22"/>
                <w:szCs w:val="22"/>
              </w:rPr>
            </w:pPr>
            <w:r>
              <w:rPr>
                <w:sz w:val="22"/>
                <w:szCs w:val="22"/>
              </w:rPr>
              <w:t>“Spectrum is the most spectacularly lit, low-lit-energy, aged-lit-friendly affordable housing complex in the world”</w:t>
            </w:r>
          </w:p>
          <w:p w14:paraId="054677A4" w14:textId="77777777" w:rsidR="00603B10" w:rsidRDefault="00603B10" w:rsidP="004A60FC">
            <w:pPr>
              <w:jc w:val="center"/>
              <w:rPr>
                <w:sz w:val="22"/>
                <w:szCs w:val="22"/>
              </w:rPr>
            </w:pPr>
          </w:p>
          <w:p w14:paraId="7B688BDE" w14:textId="77777777" w:rsidR="00603B10" w:rsidRDefault="00603B10" w:rsidP="004A60FC">
            <w:pPr>
              <w:jc w:val="center"/>
              <w:rPr>
                <w:sz w:val="22"/>
                <w:szCs w:val="22"/>
              </w:rPr>
            </w:pPr>
          </w:p>
          <w:p w14:paraId="74CAB3D0" w14:textId="77777777" w:rsidR="00603B10" w:rsidRDefault="00603B10" w:rsidP="004A60FC">
            <w:pPr>
              <w:jc w:val="center"/>
              <w:rPr>
                <w:sz w:val="22"/>
                <w:szCs w:val="22"/>
              </w:rPr>
            </w:pPr>
          </w:p>
          <w:p w14:paraId="31FB0047" w14:textId="77777777" w:rsidR="00603B10" w:rsidRDefault="00603B10" w:rsidP="00603B10">
            <w:pPr>
              <w:jc w:val="center"/>
              <w:rPr>
                <w:sz w:val="22"/>
                <w:szCs w:val="22"/>
                <w:lang w:val="en-GB"/>
              </w:rPr>
            </w:pPr>
            <w:r>
              <w:rPr>
                <w:i/>
                <w:iCs/>
                <w:sz w:val="22"/>
                <w:szCs w:val="22"/>
                <w:lang w:val="en-GB"/>
              </w:rPr>
              <w:t>“The external lighting is spectacular and highlights the building and the internal lighting is perfectly functional and creates great ambience in all units.”</w:t>
            </w:r>
          </w:p>
          <w:p w14:paraId="52D1C14B" w14:textId="77777777" w:rsidR="004A60FC" w:rsidRDefault="004A60FC" w:rsidP="004A60FC">
            <w:pPr>
              <w:jc w:val="center"/>
              <w:rPr>
                <w:sz w:val="22"/>
                <w:szCs w:val="22"/>
              </w:rPr>
            </w:pPr>
          </w:p>
        </w:tc>
      </w:tr>
      <w:tr w:rsidR="004A60FC" w14:paraId="3141E890" w14:textId="77777777" w:rsidTr="004A60FC">
        <w:tc>
          <w:tcPr>
            <w:tcW w:w="2972" w:type="dxa"/>
          </w:tcPr>
          <w:p w14:paraId="052D4443" w14:textId="56AEEF31" w:rsidR="004A60FC" w:rsidRDefault="001B352B" w:rsidP="004A60FC">
            <w:pPr>
              <w:rPr>
                <w:sz w:val="22"/>
                <w:szCs w:val="22"/>
              </w:rPr>
            </w:pPr>
            <w:r>
              <w:rPr>
                <w:sz w:val="22"/>
                <w:szCs w:val="22"/>
              </w:rPr>
              <w:t xml:space="preserve">Owner, </w:t>
            </w:r>
            <w:r w:rsidR="004A60FC" w:rsidRPr="00603B10">
              <w:rPr>
                <w:b/>
                <w:sz w:val="22"/>
                <w:szCs w:val="22"/>
              </w:rPr>
              <w:t>Real Estate Office</w:t>
            </w:r>
          </w:p>
          <w:p w14:paraId="637A5A65" w14:textId="77777777" w:rsidR="004A60FC" w:rsidRDefault="004A60FC" w:rsidP="004A60FC">
            <w:pPr>
              <w:rPr>
                <w:sz w:val="22"/>
                <w:szCs w:val="22"/>
              </w:rPr>
            </w:pPr>
          </w:p>
        </w:tc>
        <w:tc>
          <w:tcPr>
            <w:tcW w:w="6623" w:type="dxa"/>
          </w:tcPr>
          <w:p w14:paraId="0CE2D247" w14:textId="77777777" w:rsidR="004A60FC" w:rsidRDefault="004A60FC" w:rsidP="004A60FC">
            <w:pPr>
              <w:jc w:val="center"/>
              <w:rPr>
                <w:sz w:val="22"/>
                <w:szCs w:val="22"/>
                <w:lang w:val="en-GB"/>
              </w:rPr>
            </w:pPr>
            <w:r>
              <w:rPr>
                <w:i/>
                <w:iCs/>
                <w:sz w:val="22"/>
                <w:szCs w:val="22"/>
                <w:lang w:val="en-GB"/>
              </w:rPr>
              <w:t>“Jenni and her team did a fabulous job. We still cannot believe the difference changing the lighting has made to the look and feel of the office. Definitely worth dealing with the experts.”</w:t>
            </w:r>
          </w:p>
          <w:p w14:paraId="67EAAED4" w14:textId="77777777" w:rsidR="004A60FC" w:rsidRDefault="004A60FC" w:rsidP="004A60FC">
            <w:pPr>
              <w:jc w:val="both"/>
              <w:rPr>
                <w:sz w:val="22"/>
                <w:szCs w:val="22"/>
              </w:rPr>
            </w:pPr>
          </w:p>
        </w:tc>
      </w:tr>
      <w:tr w:rsidR="004A60FC" w14:paraId="52A8E134" w14:textId="77777777" w:rsidTr="004A60FC">
        <w:tc>
          <w:tcPr>
            <w:tcW w:w="2972" w:type="dxa"/>
          </w:tcPr>
          <w:p w14:paraId="0ADC899A" w14:textId="77777777" w:rsidR="004A60FC" w:rsidRDefault="004A60FC" w:rsidP="004A60FC">
            <w:pPr>
              <w:rPr>
                <w:sz w:val="22"/>
                <w:szCs w:val="22"/>
              </w:rPr>
            </w:pPr>
            <w:r>
              <w:rPr>
                <w:sz w:val="22"/>
                <w:szCs w:val="22"/>
              </w:rPr>
              <w:t xml:space="preserve">New </w:t>
            </w:r>
            <w:r w:rsidRPr="00603B10">
              <w:rPr>
                <w:b/>
                <w:sz w:val="22"/>
                <w:szCs w:val="22"/>
              </w:rPr>
              <w:t>home</w:t>
            </w:r>
            <w:r>
              <w:rPr>
                <w:sz w:val="22"/>
                <w:szCs w:val="22"/>
              </w:rPr>
              <w:t xml:space="preserve"> owner</w:t>
            </w:r>
          </w:p>
          <w:p w14:paraId="4883A538" w14:textId="4997921E" w:rsidR="004A60FC" w:rsidRDefault="004A60FC" w:rsidP="004A60FC">
            <w:pPr>
              <w:rPr>
                <w:sz w:val="22"/>
                <w:szCs w:val="22"/>
              </w:rPr>
            </w:pPr>
          </w:p>
          <w:p w14:paraId="56CD5314" w14:textId="77777777" w:rsidR="004A60FC" w:rsidRPr="004A60FC" w:rsidRDefault="004A60FC" w:rsidP="004A60FC">
            <w:pPr>
              <w:jc w:val="center"/>
              <w:rPr>
                <w:sz w:val="22"/>
                <w:szCs w:val="22"/>
              </w:rPr>
            </w:pPr>
          </w:p>
        </w:tc>
        <w:tc>
          <w:tcPr>
            <w:tcW w:w="6623" w:type="dxa"/>
          </w:tcPr>
          <w:p w14:paraId="2BDC6AB4" w14:textId="77777777" w:rsidR="004A60FC" w:rsidRDefault="004A60FC" w:rsidP="004A60FC">
            <w:pPr>
              <w:jc w:val="center"/>
              <w:rPr>
                <w:i/>
                <w:iCs/>
                <w:sz w:val="22"/>
                <w:szCs w:val="22"/>
                <w:lang w:val="en-GB"/>
              </w:rPr>
            </w:pPr>
            <w:r>
              <w:rPr>
                <w:i/>
                <w:iCs/>
                <w:sz w:val="22"/>
                <w:szCs w:val="22"/>
                <w:lang w:val="en-GB"/>
              </w:rPr>
              <w:t>“…. we both can see the value that we are getting and consider ourselves so extremely lucky to have found you!!!”</w:t>
            </w:r>
          </w:p>
          <w:p w14:paraId="7D662510" w14:textId="77777777" w:rsidR="004A60FC" w:rsidRDefault="004A60FC" w:rsidP="004A60FC">
            <w:pPr>
              <w:jc w:val="both"/>
              <w:rPr>
                <w:sz w:val="22"/>
                <w:szCs w:val="22"/>
              </w:rPr>
            </w:pPr>
          </w:p>
        </w:tc>
      </w:tr>
      <w:tr w:rsidR="004A60FC" w14:paraId="72919424" w14:textId="77777777" w:rsidTr="004A60FC">
        <w:tc>
          <w:tcPr>
            <w:tcW w:w="2972" w:type="dxa"/>
          </w:tcPr>
          <w:p w14:paraId="73D17369" w14:textId="77777777" w:rsidR="001B352B" w:rsidRDefault="001B352B" w:rsidP="001B352B">
            <w:pPr>
              <w:rPr>
                <w:sz w:val="22"/>
                <w:szCs w:val="22"/>
              </w:rPr>
            </w:pPr>
            <w:r>
              <w:rPr>
                <w:sz w:val="22"/>
                <w:szCs w:val="22"/>
              </w:rPr>
              <w:t>Owners’ Testimonial</w:t>
            </w:r>
          </w:p>
          <w:p w14:paraId="1E23798E" w14:textId="77777777" w:rsidR="001B352B" w:rsidRPr="00603B10" w:rsidRDefault="004A60FC" w:rsidP="004A60FC">
            <w:pPr>
              <w:rPr>
                <w:b/>
                <w:sz w:val="22"/>
                <w:szCs w:val="22"/>
              </w:rPr>
            </w:pPr>
            <w:r w:rsidRPr="00603B10">
              <w:rPr>
                <w:b/>
                <w:sz w:val="22"/>
                <w:szCs w:val="22"/>
              </w:rPr>
              <w:t xml:space="preserve">Clayfield Apartments </w:t>
            </w:r>
          </w:p>
          <w:p w14:paraId="33D4749D" w14:textId="77777777" w:rsidR="004A60FC" w:rsidRDefault="004A60FC" w:rsidP="001B352B">
            <w:pPr>
              <w:rPr>
                <w:sz w:val="22"/>
                <w:szCs w:val="22"/>
              </w:rPr>
            </w:pPr>
          </w:p>
        </w:tc>
        <w:tc>
          <w:tcPr>
            <w:tcW w:w="6623" w:type="dxa"/>
          </w:tcPr>
          <w:p w14:paraId="54CB1047" w14:textId="77777777" w:rsidR="004A60FC" w:rsidRDefault="004A60FC" w:rsidP="004A60FC">
            <w:pPr>
              <w:jc w:val="center"/>
              <w:rPr>
                <w:i/>
                <w:sz w:val="22"/>
                <w:szCs w:val="22"/>
              </w:rPr>
            </w:pPr>
            <w:r>
              <w:rPr>
                <w:i/>
                <w:sz w:val="22"/>
                <w:szCs w:val="22"/>
              </w:rPr>
              <w:t>“The Gillard Group led us out of difficult waters, transformed our complex into a safe, functional and glamorous complex at night, reduced total lighting wattage by 56% and contributed to the resale value of the complex.  The Gillard Group are long-term service partners.  They are also regularly measuring LED performance on-site as part of their Lighting as a Service initiative.”</w:t>
            </w:r>
          </w:p>
          <w:p w14:paraId="788A7403" w14:textId="144F408D" w:rsidR="004A60FC" w:rsidRDefault="004A60FC" w:rsidP="004A60FC">
            <w:pPr>
              <w:jc w:val="center"/>
              <w:rPr>
                <w:sz w:val="22"/>
                <w:szCs w:val="22"/>
              </w:rPr>
            </w:pPr>
          </w:p>
        </w:tc>
      </w:tr>
      <w:tr w:rsidR="004A60FC" w14:paraId="6BCCE94F" w14:textId="77777777" w:rsidTr="004A60FC">
        <w:tc>
          <w:tcPr>
            <w:tcW w:w="2972" w:type="dxa"/>
          </w:tcPr>
          <w:p w14:paraId="07D62E35" w14:textId="77777777" w:rsidR="001B352B" w:rsidRDefault="001B352B" w:rsidP="004A60FC">
            <w:pPr>
              <w:rPr>
                <w:sz w:val="22"/>
                <w:szCs w:val="22"/>
              </w:rPr>
            </w:pPr>
            <w:r>
              <w:rPr>
                <w:sz w:val="22"/>
                <w:szCs w:val="22"/>
              </w:rPr>
              <w:t>General Manager</w:t>
            </w:r>
          </w:p>
          <w:p w14:paraId="0990ACFF" w14:textId="3EB74C45" w:rsidR="004A60FC" w:rsidRPr="00603B10" w:rsidRDefault="004A60FC" w:rsidP="004A60FC">
            <w:pPr>
              <w:rPr>
                <w:b/>
                <w:sz w:val="22"/>
                <w:szCs w:val="22"/>
              </w:rPr>
            </w:pPr>
            <w:r w:rsidRPr="00603B10">
              <w:rPr>
                <w:b/>
                <w:sz w:val="22"/>
                <w:szCs w:val="22"/>
              </w:rPr>
              <w:t>Sports Club</w:t>
            </w:r>
          </w:p>
          <w:p w14:paraId="55ED2F6C" w14:textId="77777777" w:rsidR="004A60FC" w:rsidRDefault="004A60FC" w:rsidP="004A60FC">
            <w:pPr>
              <w:rPr>
                <w:sz w:val="22"/>
                <w:szCs w:val="22"/>
              </w:rPr>
            </w:pPr>
          </w:p>
        </w:tc>
        <w:tc>
          <w:tcPr>
            <w:tcW w:w="6623" w:type="dxa"/>
          </w:tcPr>
          <w:p w14:paraId="5C1634DE" w14:textId="77777777" w:rsidR="00603B10" w:rsidRDefault="004A60FC" w:rsidP="004A60FC">
            <w:pPr>
              <w:jc w:val="center"/>
              <w:rPr>
                <w:i/>
                <w:sz w:val="22"/>
                <w:szCs w:val="22"/>
              </w:rPr>
            </w:pPr>
            <w:r>
              <w:rPr>
                <w:i/>
                <w:sz w:val="22"/>
                <w:szCs w:val="22"/>
              </w:rPr>
              <w:t xml:space="preserve">“We understand that we may well be the first Lighting as a Service customer in Australia or even Asia.  The notion of a lighting partner is new; so is digital LED – we want our Club to be at the forefront.  </w:t>
            </w:r>
          </w:p>
          <w:p w14:paraId="5271D835" w14:textId="77777777" w:rsidR="00603B10" w:rsidRDefault="00603B10" w:rsidP="004A60FC">
            <w:pPr>
              <w:jc w:val="center"/>
              <w:rPr>
                <w:i/>
                <w:sz w:val="22"/>
                <w:szCs w:val="22"/>
              </w:rPr>
            </w:pPr>
          </w:p>
          <w:p w14:paraId="74805B71" w14:textId="77777777" w:rsidR="00603B10" w:rsidRDefault="004A60FC" w:rsidP="004A60FC">
            <w:pPr>
              <w:jc w:val="center"/>
              <w:rPr>
                <w:i/>
                <w:sz w:val="22"/>
                <w:szCs w:val="22"/>
              </w:rPr>
            </w:pPr>
            <w:r>
              <w:rPr>
                <w:i/>
                <w:sz w:val="22"/>
                <w:szCs w:val="22"/>
              </w:rPr>
              <w:t xml:space="preserve">Our decision to enter into a long-term contract has been well rewarded.  </w:t>
            </w:r>
          </w:p>
          <w:p w14:paraId="065E6143" w14:textId="77777777" w:rsidR="00603B10" w:rsidRDefault="00603B10" w:rsidP="004A60FC">
            <w:pPr>
              <w:jc w:val="center"/>
              <w:rPr>
                <w:i/>
                <w:sz w:val="22"/>
                <w:szCs w:val="22"/>
              </w:rPr>
            </w:pPr>
          </w:p>
          <w:p w14:paraId="3C6BF610" w14:textId="7B40F75B" w:rsidR="004A60FC" w:rsidRDefault="004A60FC" w:rsidP="004A60FC">
            <w:pPr>
              <w:jc w:val="center"/>
              <w:rPr>
                <w:i/>
                <w:sz w:val="22"/>
                <w:szCs w:val="22"/>
              </w:rPr>
            </w:pPr>
            <w:r>
              <w:rPr>
                <w:i/>
                <w:sz w:val="22"/>
                <w:szCs w:val="22"/>
              </w:rPr>
              <w:t>We look positively ahead with our lighting service partner – the Gillard Group.”</w:t>
            </w:r>
          </w:p>
          <w:p w14:paraId="0741364D" w14:textId="77777777" w:rsidR="004A60FC" w:rsidRDefault="004A60FC" w:rsidP="004A60FC">
            <w:pPr>
              <w:jc w:val="both"/>
              <w:rPr>
                <w:sz w:val="22"/>
                <w:szCs w:val="22"/>
              </w:rPr>
            </w:pPr>
          </w:p>
        </w:tc>
      </w:tr>
      <w:tr w:rsidR="004A60FC" w14:paraId="2291323B" w14:textId="77777777" w:rsidTr="004A60FC">
        <w:tc>
          <w:tcPr>
            <w:tcW w:w="2972" w:type="dxa"/>
          </w:tcPr>
          <w:p w14:paraId="0CF3BDE0" w14:textId="5522BC25" w:rsidR="004A60FC" w:rsidRDefault="001B352B" w:rsidP="004A60FC">
            <w:pPr>
              <w:rPr>
                <w:sz w:val="22"/>
                <w:szCs w:val="22"/>
              </w:rPr>
            </w:pPr>
            <w:r>
              <w:rPr>
                <w:sz w:val="22"/>
                <w:szCs w:val="22"/>
              </w:rPr>
              <w:t xml:space="preserve">Lighting Chief Judge Illuminating Engineering Society (IES) – Award of Excellence, </w:t>
            </w:r>
            <w:r w:rsidR="004A60FC" w:rsidRPr="00603B10">
              <w:rPr>
                <w:b/>
                <w:sz w:val="22"/>
                <w:szCs w:val="22"/>
              </w:rPr>
              <w:t>St Brigid’s Church</w:t>
            </w:r>
          </w:p>
          <w:p w14:paraId="2F1F6486" w14:textId="77777777" w:rsidR="004A60FC" w:rsidRDefault="004A60FC" w:rsidP="001B352B">
            <w:pPr>
              <w:rPr>
                <w:sz w:val="22"/>
                <w:szCs w:val="22"/>
              </w:rPr>
            </w:pPr>
          </w:p>
        </w:tc>
        <w:tc>
          <w:tcPr>
            <w:tcW w:w="6623" w:type="dxa"/>
          </w:tcPr>
          <w:p w14:paraId="5B46B888" w14:textId="77777777" w:rsidR="004A60FC" w:rsidRDefault="004A60FC" w:rsidP="004A60FC">
            <w:pPr>
              <w:jc w:val="center"/>
              <w:rPr>
                <w:i/>
                <w:iCs/>
                <w:sz w:val="22"/>
                <w:szCs w:val="22"/>
                <w:lang w:val="en-GB"/>
              </w:rPr>
            </w:pPr>
            <w:r>
              <w:rPr>
                <w:i/>
                <w:iCs/>
                <w:sz w:val="22"/>
                <w:szCs w:val="22"/>
                <w:lang w:val="en-GB"/>
              </w:rPr>
              <w:t xml:space="preserve">“This project </w:t>
            </w:r>
            <w:proofErr w:type="gramStart"/>
            <w:r>
              <w:rPr>
                <w:i/>
                <w:iCs/>
                <w:sz w:val="22"/>
                <w:szCs w:val="22"/>
                <w:lang w:val="en-GB"/>
              </w:rPr>
              <w:t>…..</w:t>
            </w:r>
            <w:proofErr w:type="gramEnd"/>
            <w:r>
              <w:rPr>
                <w:i/>
                <w:iCs/>
                <w:sz w:val="22"/>
                <w:szCs w:val="22"/>
                <w:lang w:val="en-GB"/>
              </w:rPr>
              <w:t xml:space="preserve"> stood out as an excellent example of architectural lighting …. considered, with regard to design approach and location, well implemented, revealing, calm and respectful.”</w:t>
            </w:r>
          </w:p>
          <w:p w14:paraId="62604703" w14:textId="38D4EAF6" w:rsidR="004A60FC" w:rsidRDefault="004A60FC" w:rsidP="004A60FC">
            <w:pPr>
              <w:jc w:val="both"/>
              <w:rPr>
                <w:sz w:val="22"/>
                <w:szCs w:val="22"/>
              </w:rPr>
            </w:pPr>
          </w:p>
        </w:tc>
      </w:tr>
      <w:tr w:rsidR="004A60FC" w14:paraId="44809A6B" w14:textId="77777777" w:rsidTr="004A60FC">
        <w:tc>
          <w:tcPr>
            <w:tcW w:w="2972" w:type="dxa"/>
          </w:tcPr>
          <w:p w14:paraId="6DC5FCE9" w14:textId="5EB25605" w:rsidR="00603B10" w:rsidRDefault="00603B10" w:rsidP="001B352B">
            <w:pPr>
              <w:rPr>
                <w:sz w:val="22"/>
                <w:szCs w:val="22"/>
                <w:lang w:val="en-GB"/>
              </w:rPr>
            </w:pPr>
            <w:r>
              <w:rPr>
                <w:sz w:val="22"/>
                <w:szCs w:val="22"/>
                <w:lang w:val="en-GB"/>
              </w:rPr>
              <w:t>IES ANZ Chief Judge</w:t>
            </w:r>
            <w:bookmarkStart w:id="0" w:name="_GoBack"/>
            <w:bookmarkEnd w:id="0"/>
          </w:p>
          <w:p w14:paraId="71D31CCE" w14:textId="5F8471FA" w:rsidR="001B352B" w:rsidRDefault="001B352B" w:rsidP="001B352B">
            <w:pPr>
              <w:rPr>
                <w:sz w:val="22"/>
                <w:szCs w:val="22"/>
                <w:lang w:val="en-GB"/>
              </w:rPr>
            </w:pPr>
            <w:r>
              <w:rPr>
                <w:sz w:val="22"/>
                <w:szCs w:val="22"/>
                <w:lang w:val="en-GB"/>
              </w:rPr>
              <w:t>Professor Emeritus Warren Julian AM</w:t>
            </w:r>
          </w:p>
          <w:p w14:paraId="5F7D9CA9" w14:textId="625256D3" w:rsidR="001B352B" w:rsidRPr="00603B10" w:rsidRDefault="001B352B" w:rsidP="001B352B">
            <w:pPr>
              <w:rPr>
                <w:b/>
                <w:sz w:val="22"/>
                <w:szCs w:val="22"/>
                <w:lang w:val="en-GB"/>
              </w:rPr>
            </w:pPr>
            <w:r>
              <w:rPr>
                <w:sz w:val="22"/>
                <w:szCs w:val="22"/>
                <w:lang w:val="en-GB"/>
              </w:rPr>
              <w:t xml:space="preserve">International Award of Excellence, </w:t>
            </w:r>
            <w:r w:rsidRPr="00603B10">
              <w:rPr>
                <w:b/>
                <w:sz w:val="22"/>
                <w:szCs w:val="22"/>
              </w:rPr>
              <w:t>Bowen Court Apartments</w:t>
            </w:r>
          </w:p>
          <w:p w14:paraId="3740C9BE" w14:textId="77777777" w:rsidR="004A60FC" w:rsidRDefault="004A60FC" w:rsidP="001B352B">
            <w:pPr>
              <w:rPr>
                <w:sz w:val="22"/>
                <w:szCs w:val="22"/>
              </w:rPr>
            </w:pPr>
          </w:p>
        </w:tc>
        <w:tc>
          <w:tcPr>
            <w:tcW w:w="6623" w:type="dxa"/>
          </w:tcPr>
          <w:p w14:paraId="06CF03F2" w14:textId="77777777" w:rsidR="001B352B" w:rsidRDefault="004A60FC" w:rsidP="001B352B">
            <w:pPr>
              <w:jc w:val="center"/>
              <w:rPr>
                <w:i/>
                <w:iCs/>
                <w:sz w:val="22"/>
                <w:szCs w:val="22"/>
                <w:lang w:val="en-GB"/>
              </w:rPr>
            </w:pPr>
            <w:r>
              <w:rPr>
                <w:i/>
                <w:iCs/>
                <w:sz w:val="22"/>
                <w:szCs w:val="22"/>
                <w:lang w:val="en-GB"/>
              </w:rPr>
              <w:t xml:space="preserve">“The lighting for this recycled housing project is primarily to produce a safe, efficient and low-cost environment. It has achieved this but with a bonus that makes very basic dwellings and their connecting and public spaces seem like an upmarket unit block. </w:t>
            </w:r>
          </w:p>
          <w:p w14:paraId="2DF085BD" w14:textId="77777777" w:rsidR="001B352B" w:rsidRDefault="001B352B" w:rsidP="001B352B">
            <w:pPr>
              <w:jc w:val="center"/>
              <w:rPr>
                <w:i/>
                <w:iCs/>
                <w:sz w:val="22"/>
                <w:szCs w:val="22"/>
                <w:lang w:val="en-GB"/>
              </w:rPr>
            </w:pPr>
          </w:p>
          <w:p w14:paraId="4B368D14" w14:textId="4ED71FEC" w:rsidR="004A60FC" w:rsidRDefault="004A60FC" w:rsidP="001B352B">
            <w:pPr>
              <w:jc w:val="center"/>
              <w:rPr>
                <w:i/>
                <w:iCs/>
                <w:sz w:val="22"/>
                <w:szCs w:val="22"/>
                <w:lang w:val="en-GB"/>
              </w:rPr>
            </w:pPr>
            <w:r>
              <w:rPr>
                <w:i/>
                <w:iCs/>
                <w:sz w:val="22"/>
                <w:szCs w:val="22"/>
                <w:lang w:val="en-GB"/>
              </w:rPr>
              <w:t xml:space="preserve">The designer used a mixture of lighting techniques to illuminate stairwells, landings and open areas. Indirect lighting and diffused light </w:t>
            </w:r>
            <w:proofErr w:type="gramStart"/>
            <w:r>
              <w:rPr>
                <w:i/>
                <w:iCs/>
                <w:sz w:val="22"/>
                <w:szCs w:val="22"/>
                <w:lang w:val="en-GB"/>
              </w:rPr>
              <w:t>has</w:t>
            </w:r>
            <w:proofErr w:type="gramEnd"/>
            <w:r>
              <w:rPr>
                <w:i/>
                <w:iCs/>
                <w:sz w:val="22"/>
                <w:szCs w:val="22"/>
                <w:lang w:val="en-GB"/>
              </w:rPr>
              <w:t xml:space="preserve"> been used effectively to achieve aesthetic as well as pragmatic objectives. Custom made but inexpensive components were used, such as the light boxes in every unit that harvest daylight and provide electric light by night</w:t>
            </w:r>
            <w:r w:rsidR="001B352B">
              <w:rPr>
                <w:i/>
                <w:iCs/>
                <w:sz w:val="22"/>
                <w:szCs w:val="22"/>
                <w:lang w:val="en-GB"/>
              </w:rPr>
              <w:t>.”</w:t>
            </w:r>
          </w:p>
          <w:p w14:paraId="4B883C5D" w14:textId="6A25E7B2" w:rsidR="001B352B" w:rsidRDefault="001B352B" w:rsidP="004A60FC">
            <w:pPr>
              <w:jc w:val="both"/>
              <w:rPr>
                <w:sz w:val="22"/>
                <w:szCs w:val="22"/>
              </w:rPr>
            </w:pPr>
          </w:p>
        </w:tc>
      </w:tr>
    </w:tbl>
    <w:p w14:paraId="71744165" w14:textId="77777777" w:rsidR="0020147B" w:rsidRDefault="00603B10" w:rsidP="00603B10"/>
    <w:sectPr w:rsidR="0020147B" w:rsidSect="00FA7F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FC"/>
    <w:rsid w:val="001B352B"/>
    <w:rsid w:val="00337AEE"/>
    <w:rsid w:val="003710BF"/>
    <w:rsid w:val="004166AE"/>
    <w:rsid w:val="004A60FC"/>
    <w:rsid w:val="00603B10"/>
    <w:rsid w:val="00974CDF"/>
    <w:rsid w:val="00C958E0"/>
    <w:rsid w:val="00FA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6480A3"/>
  <w14:defaultImageDpi w14:val="32767"/>
  <w15:chartTrackingRefBased/>
  <w15:docId w15:val="{0F1E98BD-7A7C-154C-B68B-8C38002F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0F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423</Words>
  <Characters>2251</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Lloyd</dc:creator>
  <cp:keywords/>
  <dc:description/>
  <cp:lastModifiedBy>Mark Lloyd</cp:lastModifiedBy>
  <cp:revision>2</cp:revision>
  <cp:lastPrinted>2018-08-02T23:54:00Z</cp:lastPrinted>
  <dcterms:created xsi:type="dcterms:W3CDTF">2018-07-25T05:34:00Z</dcterms:created>
  <dcterms:modified xsi:type="dcterms:W3CDTF">2018-08-02T23:55:00Z</dcterms:modified>
</cp:coreProperties>
</file>